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7CA9" w14:textId="5DAB22BB" w:rsidR="00FE4D5A" w:rsidRDefault="00FE4D5A" w:rsidP="00EF724E">
      <w:pPr>
        <w:ind w:right="50"/>
        <w:jc w:val="center"/>
        <w:rPr>
          <w:rFonts w:ascii="Calibri" w:hAnsi="Calibri" w:cs="Calibri"/>
          <w:b/>
          <w:iCs/>
          <w:color w:val="000000"/>
          <w:sz w:val="22"/>
          <w:szCs w:val="22"/>
          <w:u w:val="single"/>
          <w:lang w:val="es-VE"/>
        </w:rPr>
      </w:pPr>
      <w:r w:rsidRPr="00AE0BFF">
        <w:rPr>
          <w:rFonts w:ascii="Calibri" w:hAnsi="Calibri" w:cs="Calibri"/>
          <w:b/>
          <w:iCs/>
          <w:noProof/>
          <w:color w:val="000000"/>
          <w:sz w:val="22"/>
          <w:szCs w:val="22"/>
          <w:u w:val="single"/>
          <w:lang w:val="es-VE"/>
        </w:rPr>
        <w:drawing>
          <wp:inline distT="0" distB="0" distL="0" distR="0" wp14:anchorId="0C3D1FB8" wp14:editId="3C64F7D6">
            <wp:extent cx="2004897" cy="765390"/>
            <wp:effectExtent l="0" t="0" r="0" b="0"/>
            <wp:docPr id="12315979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898" cy="77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4915F" w14:textId="77777777" w:rsidR="00EF724E" w:rsidRPr="008D1E17" w:rsidRDefault="00EF724E" w:rsidP="00EF724E">
      <w:pPr>
        <w:ind w:right="50"/>
        <w:jc w:val="center"/>
        <w:rPr>
          <w:rFonts w:ascii="Calibri" w:hAnsi="Calibri" w:cs="Calibri"/>
          <w:b/>
          <w:iCs/>
          <w:color w:val="00204F"/>
          <w:sz w:val="16"/>
          <w:szCs w:val="16"/>
          <w:u w:val="single"/>
          <w:lang w:val="es-VE"/>
        </w:rPr>
      </w:pPr>
      <w:r w:rsidRPr="008D1E17">
        <w:rPr>
          <w:rFonts w:ascii="Calibri" w:hAnsi="Calibri" w:cs="Calibri"/>
          <w:b/>
          <w:iCs/>
          <w:color w:val="00204F"/>
          <w:sz w:val="16"/>
          <w:szCs w:val="16"/>
        </w:rPr>
        <w:t>J-000199310</w:t>
      </w:r>
    </w:p>
    <w:p w14:paraId="7553F859" w14:textId="77777777" w:rsidR="006B1BAE" w:rsidRPr="00AE0BFF" w:rsidRDefault="006B1BAE" w:rsidP="006B1BAE">
      <w:pPr>
        <w:spacing w:line="360" w:lineRule="auto"/>
        <w:ind w:right="50"/>
        <w:jc w:val="center"/>
        <w:rPr>
          <w:rFonts w:ascii="Calibri" w:hAnsi="Calibri" w:cs="Calibri"/>
          <w:b/>
          <w:iCs/>
          <w:color w:val="000000"/>
          <w:sz w:val="22"/>
          <w:szCs w:val="22"/>
          <w:u w:val="single"/>
        </w:rPr>
      </w:pPr>
    </w:p>
    <w:p w14:paraId="4BBF8884" w14:textId="47FAA335" w:rsidR="006B1BAE" w:rsidRPr="00AE0BFF" w:rsidRDefault="006B1BAE" w:rsidP="006B1BAE">
      <w:pPr>
        <w:spacing w:line="360" w:lineRule="auto"/>
        <w:ind w:right="50"/>
        <w:jc w:val="center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AE0BFF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Convocatoria Extraordinaria</w:t>
      </w:r>
    </w:p>
    <w:p w14:paraId="25932F7B" w14:textId="736A3754" w:rsidR="006B1BAE" w:rsidRPr="00AE0BFF" w:rsidRDefault="006B1BAE" w:rsidP="006B1BAE">
      <w:pPr>
        <w:pStyle w:val="Textodebloque"/>
        <w:spacing w:line="360" w:lineRule="auto"/>
        <w:ind w:left="0"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AE0BFF">
        <w:rPr>
          <w:rFonts w:ascii="Calibri" w:hAnsi="Calibri" w:cs="Calibri"/>
          <w:b w:val="0"/>
          <w:bCs/>
          <w:i w:val="0"/>
          <w:iCs/>
          <w:color w:val="000000"/>
          <w:sz w:val="22"/>
          <w:szCs w:val="22"/>
        </w:rPr>
        <w:t xml:space="preserve">Se convoca a los señores accionistas de la empresa </w:t>
      </w:r>
      <w:r w:rsidRPr="00AE0BFF">
        <w:rPr>
          <w:rFonts w:ascii="Calibri" w:hAnsi="Calibri" w:cs="Calibri"/>
          <w:i w:val="0"/>
          <w:iCs/>
          <w:color w:val="000000"/>
          <w:sz w:val="22"/>
          <w:szCs w:val="22"/>
        </w:rPr>
        <w:t>I</w:t>
      </w:r>
      <w:r w:rsidR="006D1965" w:rsidRPr="00AE0BFF">
        <w:rPr>
          <w:rFonts w:ascii="Calibri" w:hAnsi="Calibri" w:cs="Calibri"/>
          <w:i w:val="0"/>
          <w:iCs/>
          <w:color w:val="000000"/>
          <w:sz w:val="22"/>
          <w:szCs w:val="22"/>
        </w:rPr>
        <w:t>nvaca Investment Company</w:t>
      </w:r>
      <w:r w:rsidRPr="00AE0BFF">
        <w:rPr>
          <w:rFonts w:ascii="Calibri" w:hAnsi="Calibri" w:cs="Calibri"/>
          <w:i w:val="0"/>
          <w:iCs/>
          <w:color w:val="000000"/>
          <w:sz w:val="22"/>
          <w:szCs w:val="22"/>
        </w:rPr>
        <w:t>, S.A.C.A.,</w:t>
      </w:r>
      <w:r w:rsidRPr="00AE0BFF">
        <w:rPr>
          <w:rFonts w:ascii="Calibri" w:hAnsi="Calibri" w:cs="Calibri"/>
          <w:b w:val="0"/>
          <w:bCs/>
          <w:i w:val="0"/>
          <w:iCs/>
          <w:color w:val="000000"/>
          <w:sz w:val="22"/>
          <w:szCs w:val="22"/>
        </w:rPr>
        <w:t xml:space="preserve"> para </w:t>
      </w:r>
      <w:r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>la celebración de la Asamblea General Extraordinaria de Accionistas a ser realizada el</w:t>
      </w:r>
      <w:r w:rsidR="00AE0BFF"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="00AE0BFF"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>día</w:t>
      </w:r>
      <w:r w:rsidRPr="00AE0BFF"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="0050224C">
        <w:rPr>
          <w:rFonts w:ascii="Calibri" w:hAnsi="Calibri" w:cs="Calibri"/>
          <w:i w:val="0"/>
          <w:iCs/>
          <w:sz w:val="22"/>
          <w:szCs w:val="22"/>
        </w:rPr>
        <w:t>v</w:t>
      </w:r>
      <w:r w:rsidR="00A06A44">
        <w:rPr>
          <w:rFonts w:ascii="Calibri" w:hAnsi="Calibri" w:cs="Calibri"/>
          <w:i w:val="0"/>
          <w:iCs/>
          <w:sz w:val="22"/>
          <w:szCs w:val="22"/>
        </w:rPr>
        <w:t>eintiocho</w:t>
      </w:r>
      <w:r w:rsidR="0050224C"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Pr="00AE0BFF">
        <w:rPr>
          <w:rFonts w:ascii="Calibri" w:hAnsi="Calibri" w:cs="Calibri"/>
          <w:i w:val="0"/>
          <w:iCs/>
          <w:sz w:val="22"/>
          <w:szCs w:val="22"/>
        </w:rPr>
        <w:t>(</w:t>
      </w:r>
      <w:r w:rsidR="00A06A44">
        <w:rPr>
          <w:rFonts w:ascii="Calibri" w:hAnsi="Calibri" w:cs="Calibri"/>
          <w:i w:val="0"/>
          <w:iCs/>
          <w:sz w:val="22"/>
          <w:szCs w:val="22"/>
        </w:rPr>
        <w:t>28</w:t>
      </w:r>
      <w:r w:rsidRPr="00AE0BFF">
        <w:rPr>
          <w:rFonts w:ascii="Calibri" w:hAnsi="Calibri" w:cs="Calibri"/>
          <w:i w:val="0"/>
          <w:iCs/>
          <w:sz w:val="22"/>
          <w:szCs w:val="22"/>
        </w:rPr>
        <w:t xml:space="preserve">) de </w:t>
      </w:r>
      <w:r w:rsidR="004056D6">
        <w:rPr>
          <w:rFonts w:ascii="Calibri" w:hAnsi="Calibri" w:cs="Calibri"/>
          <w:i w:val="0"/>
          <w:iCs/>
          <w:sz w:val="22"/>
          <w:szCs w:val="22"/>
        </w:rPr>
        <w:t>noviembre</w:t>
      </w:r>
      <w:r w:rsidRPr="00AE0BFF">
        <w:rPr>
          <w:rFonts w:ascii="Calibri" w:hAnsi="Calibri" w:cs="Calibri"/>
          <w:i w:val="0"/>
          <w:iCs/>
          <w:sz w:val="22"/>
          <w:szCs w:val="22"/>
        </w:rPr>
        <w:t xml:space="preserve"> de 202</w:t>
      </w:r>
      <w:r w:rsidR="00A72F5B" w:rsidRPr="00AE0BFF">
        <w:rPr>
          <w:rFonts w:ascii="Calibri" w:hAnsi="Calibri" w:cs="Calibri"/>
          <w:i w:val="0"/>
          <w:iCs/>
          <w:sz w:val="22"/>
          <w:szCs w:val="22"/>
        </w:rPr>
        <w:t>5</w:t>
      </w:r>
      <w:r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, a </w:t>
      </w:r>
      <w:r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las </w:t>
      </w:r>
      <w:r w:rsidR="00AE0BFF"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>4</w:t>
      </w:r>
      <w:r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>:</w:t>
      </w:r>
      <w:r w:rsidR="00AE0BFF"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>0</w:t>
      </w:r>
      <w:r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0 </w:t>
      </w:r>
      <w:r w:rsidR="00AE0BFF"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>p</w:t>
      </w:r>
      <w:r w:rsidRPr="004056D6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.m., </w:t>
      </w:r>
      <w:r w:rsidRPr="004056D6">
        <w:rPr>
          <w:rFonts w:ascii="Calibri" w:eastAsia="Batang" w:hAnsi="Calibri"/>
          <w:b w:val="0"/>
          <w:bCs/>
          <w:i w:val="0"/>
          <w:iCs/>
          <w:sz w:val="22"/>
          <w:szCs w:val="22"/>
        </w:rPr>
        <w:t>en la sigu</w:t>
      </w:r>
      <w:r w:rsidRPr="00AE0BFF">
        <w:rPr>
          <w:rFonts w:ascii="Calibri" w:eastAsia="Batang" w:hAnsi="Calibri"/>
          <w:b w:val="0"/>
          <w:bCs/>
          <w:i w:val="0"/>
          <w:iCs/>
          <w:sz w:val="22"/>
          <w:szCs w:val="22"/>
        </w:rPr>
        <w:t xml:space="preserve">iente dirección: Avenida Venezuela, Edificio El Samán, Piso 8, Urbanización El Rosal, Caracas, </w:t>
      </w:r>
      <w:r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>con la finalidad de tratar</w:t>
      </w:r>
      <w:r w:rsidR="004E5A72"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 </w:t>
      </w:r>
      <w:r w:rsidR="0013034D"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los siguientes puntos </w:t>
      </w:r>
      <w:r w:rsidRPr="00AE0BFF">
        <w:rPr>
          <w:rFonts w:ascii="Calibri" w:hAnsi="Calibri" w:cs="Calibri"/>
          <w:b w:val="0"/>
          <w:bCs/>
          <w:i w:val="0"/>
          <w:iCs/>
          <w:sz w:val="22"/>
          <w:szCs w:val="22"/>
        </w:rPr>
        <w:t>del Orden del Día, a saber:</w:t>
      </w:r>
    </w:p>
    <w:p w14:paraId="31EE6017" w14:textId="78A0129F" w:rsidR="00AA126C" w:rsidRDefault="0013034D" w:rsidP="002C0F90">
      <w:pPr>
        <w:spacing w:line="360" w:lineRule="auto"/>
        <w:ind w:right="70"/>
        <w:jc w:val="both"/>
        <w:rPr>
          <w:rFonts w:ascii="Calibri" w:eastAsia="Arial Unicode MS" w:hAnsi="Calibri" w:cs="Arial"/>
          <w:sz w:val="22"/>
          <w:szCs w:val="22"/>
        </w:rPr>
      </w:pPr>
      <w:r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Primero</w:t>
      </w:r>
      <w:r w:rsidR="006B1BAE" w:rsidRPr="00AE0BFF">
        <w:rPr>
          <w:rFonts w:asciiTheme="minorHAnsi" w:hAnsiTheme="minorHAnsi" w:cstheme="minorHAnsi"/>
          <w:iCs/>
          <w:sz w:val="22"/>
          <w:szCs w:val="22"/>
        </w:rPr>
        <w:t>:</w:t>
      </w:r>
      <w:r w:rsidR="002C0F90" w:rsidRPr="00AE0BF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A126C" w:rsidRPr="00AE0BFF">
        <w:rPr>
          <w:rFonts w:ascii="Calibri" w:eastAsia="Arial Unicode MS" w:hAnsi="Calibri" w:cs="Arial"/>
          <w:sz w:val="22"/>
          <w:szCs w:val="22"/>
        </w:rPr>
        <w:t xml:space="preserve">Considerar y resolver acerca de la autorización a ser otorgada a la Junta Directiva, en su condición de sociedad anónima de capital autorizado </w:t>
      </w:r>
      <w:r w:rsidR="00AA126C">
        <w:rPr>
          <w:rFonts w:ascii="Calibri" w:eastAsia="Arial Unicode MS" w:hAnsi="Calibri" w:cs="Arial"/>
          <w:sz w:val="22"/>
          <w:szCs w:val="22"/>
        </w:rPr>
        <w:t>(</w:t>
      </w:r>
      <w:r w:rsidR="00AA126C" w:rsidRPr="00AE0BFF">
        <w:rPr>
          <w:rFonts w:ascii="Calibri" w:eastAsia="Arial Unicode MS" w:hAnsi="Calibri" w:cs="Arial"/>
          <w:sz w:val="22"/>
          <w:szCs w:val="22"/>
        </w:rPr>
        <w:t>S.A.C.A.</w:t>
      </w:r>
      <w:r w:rsidR="00AA126C">
        <w:rPr>
          <w:rFonts w:ascii="Calibri" w:eastAsia="Arial Unicode MS" w:hAnsi="Calibri" w:cs="Arial"/>
          <w:sz w:val="22"/>
          <w:szCs w:val="22"/>
        </w:rPr>
        <w:t>)</w:t>
      </w:r>
      <w:r w:rsidR="00AA126C" w:rsidRPr="00AE0BFF">
        <w:rPr>
          <w:rFonts w:ascii="Calibri" w:eastAsia="Arial Unicode MS" w:hAnsi="Calibri" w:cs="Arial"/>
          <w:sz w:val="22"/>
          <w:szCs w:val="22"/>
        </w:rPr>
        <w:t xml:space="preserve">, para que previo el cumplimiento de las disposiciones vigentes sobre la materia, en la oportunidad en que la Junta Directiva lo decida y dentro de los dos (2) años siguientes a la celebración de la Asamblea, la Junta Directiva quede facultada suficientemente para aumentar el capital social </w:t>
      </w:r>
      <w:r w:rsidR="00AA126C" w:rsidRPr="00AE0BFF">
        <w:rPr>
          <w:rFonts w:ascii="Calibri" w:eastAsia="Arial Unicode MS" w:hAnsi="Calibri" w:cs="Calibri"/>
          <w:sz w:val="22"/>
          <w:szCs w:val="22"/>
        </w:rPr>
        <w:t xml:space="preserve">dentro del límite previsto en el artículo 76 del Decreto con Rango, Valor y Fuerza de </w:t>
      </w:r>
      <w:r w:rsidR="00AA126C" w:rsidRPr="00AE0BFF">
        <w:rPr>
          <w:rFonts w:ascii="Calibri" w:hAnsi="Calibri" w:cs="Calibri"/>
          <w:sz w:val="22"/>
          <w:szCs w:val="22"/>
        </w:rPr>
        <w:t>Ley de Mercado de Valores</w:t>
      </w:r>
      <w:r w:rsidR="00AA126C" w:rsidRPr="00AE0BFF">
        <w:rPr>
          <w:rFonts w:ascii="Calibri" w:eastAsia="Arial Unicode MS" w:hAnsi="Calibri" w:cs="Arial"/>
          <w:sz w:val="22"/>
          <w:szCs w:val="22"/>
        </w:rPr>
        <w:t>.</w:t>
      </w:r>
    </w:p>
    <w:p w14:paraId="3EDFCDAA" w14:textId="70CF09A1" w:rsidR="009126FC" w:rsidRPr="00AE0BFF" w:rsidRDefault="00A933ED" w:rsidP="002C0F90">
      <w:pPr>
        <w:spacing w:line="360" w:lineRule="auto"/>
        <w:ind w:right="7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Segundo:</w:t>
      </w:r>
      <w:r w:rsidRPr="00AE0BFF">
        <w:rPr>
          <w:rFonts w:asciiTheme="minorHAnsi" w:hAnsiTheme="minorHAnsi" w:cstheme="minorHAnsi"/>
          <w:iCs/>
          <w:sz w:val="22"/>
          <w:szCs w:val="22"/>
        </w:rPr>
        <w:t xml:space="preserve"> Considerar y resolver acerca de la modificación de las cláusulas Quinta y Vigésima Novena de los Estatutos Sociales de la compañía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>, referidas a su capital social</w:t>
      </w:r>
      <w:r w:rsidRPr="00AE0BFF">
        <w:rPr>
          <w:rFonts w:asciiTheme="minorHAnsi" w:hAnsiTheme="minorHAnsi" w:cstheme="minorHAnsi"/>
          <w:iCs/>
          <w:sz w:val="22"/>
          <w:szCs w:val="22"/>
        </w:rPr>
        <w:t>, en virtud de</w:t>
      </w:r>
      <w:r w:rsidR="00D432A7" w:rsidRPr="00AE0BFF">
        <w:rPr>
          <w:rFonts w:asciiTheme="minorHAnsi" w:hAnsiTheme="minorHAnsi" w:cstheme="minorHAnsi"/>
          <w:iCs/>
          <w:sz w:val="22"/>
          <w:szCs w:val="22"/>
        </w:rPr>
        <w:t xml:space="preserve"> la fusión por absorción 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>del F.V.I. Fondo de Valores Inmobiliarios, S.A.C.A.</w:t>
      </w:r>
      <w:r w:rsidR="00EF724E">
        <w:rPr>
          <w:rFonts w:asciiTheme="minorHAnsi" w:hAnsiTheme="minorHAnsi" w:cstheme="minorHAnsi"/>
          <w:iCs/>
          <w:sz w:val="22"/>
          <w:szCs w:val="22"/>
        </w:rPr>
        <w:t>,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 xml:space="preserve"> por</w:t>
      </w:r>
      <w:r w:rsidR="0088274F" w:rsidRPr="00AE0BFF">
        <w:rPr>
          <w:rFonts w:asciiTheme="minorHAnsi" w:hAnsiTheme="minorHAnsi" w:cstheme="minorHAnsi"/>
          <w:iCs/>
          <w:sz w:val="22"/>
          <w:szCs w:val="22"/>
        </w:rPr>
        <w:t xml:space="preserve"> parte de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 xml:space="preserve"> I</w:t>
      </w:r>
      <w:r w:rsidR="0088274F" w:rsidRPr="00AE0BFF">
        <w:rPr>
          <w:rFonts w:asciiTheme="minorHAnsi" w:hAnsiTheme="minorHAnsi" w:cstheme="minorHAnsi"/>
          <w:iCs/>
          <w:sz w:val="22"/>
          <w:szCs w:val="22"/>
        </w:rPr>
        <w:t xml:space="preserve">nvaca 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>In</w:t>
      </w:r>
      <w:r w:rsidR="0088274F" w:rsidRPr="00AE0BFF">
        <w:rPr>
          <w:rFonts w:asciiTheme="minorHAnsi" w:hAnsiTheme="minorHAnsi" w:cstheme="minorHAnsi"/>
          <w:iCs/>
          <w:sz w:val="22"/>
          <w:szCs w:val="22"/>
        </w:rPr>
        <w:t>vestment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 xml:space="preserve"> C</w:t>
      </w:r>
      <w:r w:rsidR="0088274F" w:rsidRPr="00AE0BFF">
        <w:rPr>
          <w:rFonts w:asciiTheme="minorHAnsi" w:hAnsiTheme="minorHAnsi" w:cstheme="minorHAnsi"/>
          <w:iCs/>
          <w:sz w:val="22"/>
          <w:szCs w:val="22"/>
        </w:rPr>
        <w:t>ompany</w:t>
      </w:r>
      <w:r w:rsidR="009126FC" w:rsidRPr="00AE0BFF">
        <w:rPr>
          <w:rFonts w:asciiTheme="minorHAnsi" w:hAnsiTheme="minorHAnsi" w:cstheme="minorHAnsi"/>
          <w:iCs/>
          <w:sz w:val="22"/>
          <w:szCs w:val="22"/>
        </w:rPr>
        <w:t xml:space="preserve">, S.A.C.A.   </w:t>
      </w:r>
    </w:p>
    <w:p w14:paraId="08876C62" w14:textId="70CB35E7" w:rsidR="002C0F90" w:rsidRPr="00AE0BFF" w:rsidRDefault="00A933ED" w:rsidP="002C0F90">
      <w:pPr>
        <w:spacing w:line="360" w:lineRule="auto"/>
        <w:ind w:right="7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Tercero:</w:t>
      </w:r>
      <w:r w:rsidRPr="00AE0BF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C0F90" w:rsidRPr="00AE0BFF">
        <w:rPr>
          <w:rFonts w:asciiTheme="minorHAnsi" w:hAnsiTheme="minorHAnsi" w:cstheme="minorHAnsi"/>
          <w:iCs/>
          <w:sz w:val="22"/>
          <w:szCs w:val="22"/>
        </w:rPr>
        <w:t>Considerar y resolver acerca de la conveniencia de emitir cualquier tipo de obligaciones, obligaciones convertibles, bonos, papeles comerciales, derivativos o títulos de participación hasta por un monto equivalente a tres (3) veces el patrimonio de la compañía, considerando la inflación al momento de recibir la autorización para la emisión o su equivalente en moneda extranjera, en los términos y condiciones que apruebe la Junta Directiva de la compañía, todo de conformidad con lo establecido en el Decreto con Rango, Valor y Fuerza de Ley de Mercado de Valores y las Normas Relativas a la Oferta Pública y Colocación de Valores y a la Publicación de las Emisiones.</w:t>
      </w:r>
    </w:p>
    <w:p w14:paraId="4E559676" w14:textId="36DA58D2" w:rsidR="002C0F90" w:rsidRPr="00AE0BFF" w:rsidRDefault="008914C3" w:rsidP="002C0F90">
      <w:pPr>
        <w:spacing w:line="360" w:lineRule="auto"/>
        <w:ind w:right="7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Cuart</w:t>
      </w:r>
      <w:r w:rsidR="002C0F90"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o:</w:t>
      </w:r>
      <w:r w:rsidR="002C0F90" w:rsidRPr="00AE0BFF">
        <w:rPr>
          <w:rFonts w:asciiTheme="minorHAnsi" w:hAnsiTheme="minorHAnsi" w:cstheme="minorHAnsi"/>
          <w:iCs/>
          <w:sz w:val="22"/>
          <w:szCs w:val="22"/>
        </w:rPr>
        <w:t xml:space="preserve"> Considerar y resolver acerca de la designación del representante común provisional de los obligacionistas y fijar su remuneración.</w:t>
      </w:r>
    </w:p>
    <w:p w14:paraId="301CCBD8" w14:textId="06B72DFF" w:rsidR="002C0F90" w:rsidRPr="00AE0BFF" w:rsidRDefault="008914C3" w:rsidP="00EF724E">
      <w:pPr>
        <w:spacing w:line="360" w:lineRule="auto"/>
        <w:ind w:right="70"/>
        <w:jc w:val="both"/>
        <w:rPr>
          <w:rFonts w:ascii="Calibri" w:eastAsia="Arial Unicode MS" w:hAnsi="Calibri" w:cs="Arial"/>
          <w:sz w:val="22"/>
          <w:szCs w:val="22"/>
        </w:rPr>
      </w:pPr>
      <w:r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Quint</w:t>
      </w:r>
      <w:r w:rsidR="002C0F90" w:rsidRPr="00AE0BFF">
        <w:rPr>
          <w:rFonts w:asciiTheme="minorHAnsi" w:hAnsiTheme="minorHAnsi" w:cstheme="minorHAnsi"/>
          <w:b/>
          <w:iCs/>
          <w:sz w:val="22"/>
          <w:szCs w:val="22"/>
          <w:u w:val="single"/>
        </w:rPr>
        <w:t>o:</w:t>
      </w:r>
      <w:r w:rsidR="002C0F90" w:rsidRPr="00AE0BFF">
        <w:rPr>
          <w:rFonts w:asciiTheme="minorHAnsi" w:hAnsiTheme="minorHAnsi" w:cstheme="minorHAnsi"/>
          <w:iCs/>
          <w:sz w:val="22"/>
          <w:szCs w:val="22"/>
        </w:rPr>
        <w:t xml:space="preserve"> Considerar y resolver sobre la conveniencia de facultar a la Junta Directiva para que esté suficientemente autorizada para adquirir acciones de la compañía hasta por un monto equivalente al diez por ciento (10%), según lo previsto en el Decreto con Rango, Valor y Fuerza de Ley de Mercado de Valores y las Normas Relativas a la Oferta Pública, Colocación y Publicación de las Emisiones de Valores.</w:t>
      </w:r>
    </w:p>
    <w:p w14:paraId="6A6D1D78" w14:textId="790CF6FD" w:rsidR="006B1BAE" w:rsidRPr="00AE0BFF" w:rsidRDefault="006B1BAE" w:rsidP="006B1BAE">
      <w:pPr>
        <w:spacing w:line="360" w:lineRule="auto"/>
        <w:ind w:right="50"/>
        <w:jc w:val="right"/>
        <w:rPr>
          <w:rFonts w:ascii="Calibri" w:hAnsi="Calibri" w:cs="Calibri"/>
          <w:iCs/>
          <w:sz w:val="22"/>
          <w:szCs w:val="22"/>
        </w:rPr>
      </w:pPr>
      <w:r w:rsidRPr="00AE0BFF">
        <w:rPr>
          <w:rFonts w:ascii="Calibri" w:hAnsi="Calibri" w:cs="Calibri"/>
          <w:iCs/>
          <w:sz w:val="22"/>
          <w:szCs w:val="22"/>
        </w:rPr>
        <w:t xml:space="preserve">Caracas, </w:t>
      </w:r>
      <w:r w:rsidR="00A06A44">
        <w:rPr>
          <w:rFonts w:ascii="Calibri" w:hAnsi="Calibri" w:cs="Calibri"/>
          <w:iCs/>
          <w:sz w:val="22"/>
          <w:szCs w:val="22"/>
        </w:rPr>
        <w:t>once</w:t>
      </w:r>
      <w:r w:rsidR="0050224C">
        <w:rPr>
          <w:rFonts w:ascii="Calibri" w:hAnsi="Calibri" w:cs="Calibri"/>
          <w:iCs/>
          <w:sz w:val="22"/>
          <w:szCs w:val="22"/>
        </w:rPr>
        <w:t xml:space="preserve"> </w:t>
      </w:r>
      <w:r w:rsidRPr="00AE0BFF">
        <w:rPr>
          <w:rFonts w:ascii="Calibri" w:hAnsi="Calibri" w:cs="Calibri"/>
          <w:iCs/>
          <w:sz w:val="22"/>
          <w:szCs w:val="22"/>
        </w:rPr>
        <w:t>(</w:t>
      </w:r>
      <w:r w:rsidR="00A06A44">
        <w:rPr>
          <w:rFonts w:ascii="Calibri" w:hAnsi="Calibri" w:cs="Calibri"/>
          <w:iCs/>
          <w:sz w:val="22"/>
          <w:szCs w:val="22"/>
        </w:rPr>
        <w:t>11</w:t>
      </w:r>
      <w:r w:rsidRPr="00AE0BFF">
        <w:rPr>
          <w:rFonts w:ascii="Calibri" w:hAnsi="Calibri" w:cs="Calibri"/>
          <w:iCs/>
          <w:sz w:val="22"/>
          <w:szCs w:val="22"/>
        </w:rPr>
        <w:t xml:space="preserve">) de </w:t>
      </w:r>
      <w:r w:rsidR="0050224C">
        <w:rPr>
          <w:rFonts w:ascii="Calibri" w:hAnsi="Calibri" w:cs="Calibri"/>
          <w:iCs/>
          <w:sz w:val="22"/>
          <w:szCs w:val="22"/>
        </w:rPr>
        <w:t>n</w:t>
      </w:r>
      <w:r w:rsidR="008F62B9" w:rsidRPr="00AE0BFF">
        <w:rPr>
          <w:rFonts w:ascii="Calibri" w:hAnsi="Calibri" w:cs="Calibri"/>
          <w:iCs/>
          <w:sz w:val="22"/>
          <w:szCs w:val="22"/>
        </w:rPr>
        <w:t>o</w:t>
      </w:r>
      <w:r w:rsidR="0050224C">
        <w:rPr>
          <w:rFonts w:ascii="Calibri" w:hAnsi="Calibri" w:cs="Calibri"/>
          <w:iCs/>
          <w:sz w:val="22"/>
          <w:szCs w:val="22"/>
        </w:rPr>
        <w:t>viem</w:t>
      </w:r>
      <w:r w:rsidR="008F62B9" w:rsidRPr="00AE0BFF">
        <w:rPr>
          <w:rFonts w:ascii="Calibri" w:hAnsi="Calibri" w:cs="Calibri"/>
          <w:iCs/>
          <w:sz w:val="22"/>
          <w:szCs w:val="22"/>
        </w:rPr>
        <w:t>bre de 2025</w:t>
      </w:r>
    </w:p>
    <w:p w14:paraId="34718E8D" w14:textId="77777777" w:rsidR="006D1965" w:rsidRPr="00AE0BFF" w:rsidRDefault="006D1965" w:rsidP="006B1BAE">
      <w:pPr>
        <w:spacing w:line="360" w:lineRule="auto"/>
        <w:ind w:right="50"/>
        <w:jc w:val="right"/>
        <w:rPr>
          <w:rFonts w:ascii="Calibri" w:hAnsi="Calibri" w:cs="Calibri"/>
          <w:iCs/>
          <w:sz w:val="22"/>
          <w:szCs w:val="22"/>
        </w:rPr>
      </w:pPr>
    </w:p>
    <w:p w14:paraId="771066D2" w14:textId="4514C268" w:rsidR="006B1BAE" w:rsidRPr="007756FD" w:rsidRDefault="006B1BAE" w:rsidP="006B1BAE">
      <w:pPr>
        <w:spacing w:line="360" w:lineRule="auto"/>
        <w:ind w:right="50"/>
        <w:jc w:val="center"/>
        <w:rPr>
          <w:rFonts w:ascii="Calibri" w:hAnsi="Calibri" w:cs="Calibri"/>
          <w:b/>
          <w:iCs/>
          <w:sz w:val="22"/>
          <w:szCs w:val="22"/>
          <w:lang w:val="en-US"/>
        </w:rPr>
      </w:pPr>
      <w:r w:rsidRPr="007756FD">
        <w:rPr>
          <w:rFonts w:ascii="Calibri" w:hAnsi="Calibri" w:cs="Calibri"/>
          <w:b/>
          <w:iCs/>
          <w:sz w:val="22"/>
          <w:szCs w:val="22"/>
          <w:lang w:val="en-US"/>
        </w:rPr>
        <w:t>I</w:t>
      </w:r>
      <w:r w:rsidR="00CC333F" w:rsidRPr="007756FD">
        <w:rPr>
          <w:rFonts w:ascii="Calibri" w:hAnsi="Calibri" w:cs="Calibri"/>
          <w:b/>
          <w:iCs/>
          <w:sz w:val="22"/>
          <w:szCs w:val="22"/>
          <w:lang w:val="en-US"/>
        </w:rPr>
        <w:t xml:space="preserve">nvaca </w:t>
      </w:r>
      <w:r w:rsidRPr="007756FD">
        <w:rPr>
          <w:rFonts w:ascii="Calibri" w:hAnsi="Calibri" w:cs="Calibri"/>
          <w:b/>
          <w:iCs/>
          <w:sz w:val="22"/>
          <w:szCs w:val="22"/>
          <w:lang w:val="en-US"/>
        </w:rPr>
        <w:t>In</w:t>
      </w:r>
      <w:r w:rsidR="00CC333F" w:rsidRPr="007756FD">
        <w:rPr>
          <w:rFonts w:ascii="Calibri" w:hAnsi="Calibri" w:cs="Calibri"/>
          <w:b/>
          <w:iCs/>
          <w:sz w:val="22"/>
          <w:szCs w:val="22"/>
          <w:lang w:val="en-US"/>
        </w:rPr>
        <w:t>vestment</w:t>
      </w:r>
      <w:r w:rsidRPr="007756FD">
        <w:rPr>
          <w:rFonts w:ascii="Calibri" w:hAnsi="Calibri" w:cs="Calibri"/>
          <w:b/>
          <w:iCs/>
          <w:sz w:val="22"/>
          <w:szCs w:val="22"/>
          <w:lang w:val="en-US"/>
        </w:rPr>
        <w:t xml:space="preserve"> C</w:t>
      </w:r>
      <w:r w:rsidR="00CC333F" w:rsidRPr="007756FD">
        <w:rPr>
          <w:rFonts w:ascii="Calibri" w:hAnsi="Calibri" w:cs="Calibri"/>
          <w:b/>
          <w:iCs/>
          <w:sz w:val="22"/>
          <w:szCs w:val="22"/>
          <w:lang w:val="en-US"/>
        </w:rPr>
        <w:t>ompany</w:t>
      </w:r>
      <w:r w:rsidRPr="007756FD">
        <w:rPr>
          <w:rFonts w:ascii="Calibri" w:hAnsi="Calibri" w:cs="Calibri"/>
          <w:b/>
          <w:iCs/>
          <w:sz w:val="22"/>
          <w:szCs w:val="22"/>
          <w:lang w:val="en-US"/>
        </w:rPr>
        <w:t>, S.A.C.A.</w:t>
      </w:r>
    </w:p>
    <w:p w14:paraId="1572AF3D" w14:textId="4589C395" w:rsidR="00920C16" w:rsidRPr="007B2E69" w:rsidRDefault="006B1BAE" w:rsidP="00AA126C">
      <w:pPr>
        <w:spacing w:line="360" w:lineRule="auto"/>
        <w:ind w:right="50"/>
        <w:jc w:val="center"/>
        <w:rPr>
          <w:sz w:val="24"/>
          <w:szCs w:val="24"/>
        </w:rPr>
      </w:pPr>
      <w:r w:rsidRPr="00AE0BFF">
        <w:rPr>
          <w:rFonts w:ascii="Calibri" w:hAnsi="Calibri" w:cs="Calibri"/>
          <w:b/>
          <w:iCs/>
          <w:sz w:val="22"/>
          <w:szCs w:val="22"/>
        </w:rPr>
        <w:t>La Junta Directiva</w:t>
      </w:r>
    </w:p>
    <w:sectPr w:rsidR="00920C16" w:rsidRPr="007B2E69" w:rsidSect="00AE0BFF">
      <w:pgSz w:w="12246" w:h="18709" w:code="302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AE"/>
    <w:rsid w:val="000D42C3"/>
    <w:rsid w:val="00121A8F"/>
    <w:rsid w:val="0013034D"/>
    <w:rsid w:val="00142275"/>
    <w:rsid w:val="002C0F90"/>
    <w:rsid w:val="00332485"/>
    <w:rsid w:val="00395F2E"/>
    <w:rsid w:val="003A0F9D"/>
    <w:rsid w:val="003A5E96"/>
    <w:rsid w:val="004056D6"/>
    <w:rsid w:val="00484AC2"/>
    <w:rsid w:val="004E5A72"/>
    <w:rsid w:val="00501717"/>
    <w:rsid w:val="0050224C"/>
    <w:rsid w:val="005A2A1C"/>
    <w:rsid w:val="005D3D30"/>
    <w:rsid w:val="006B1BAE"/>
    <w:rsid w:val="006D1965"/>
    <w:rsid w:val="007756FD"/>
    <w:rsid w:val="00777A61"/>
    <w:rsid w:val="007A5929"/>
    <w:rsid w:val="007B2E69"/>
    <w:rsid w:val="008510EB"/>
    <w:rsid w:val="0088274F"/>
    <w:rsid w:val="00882873"/>
    <w:rsid w:val="008914C3"/>
    <w:rsid w:val="008D0BBC"/>
    <w:rsid w:val="008F62B9"/>
    <w:rsid w:val="009126FC"/>
    <w:rsid w:val="009161EC"/>
    <w:rsid w:val="00920C16"/>
    <w:rsid w:val="009B7DBC"/>
    <w:rsid w:val="009F349C"/>
    <w:rsid w:val="00A06A44"/>
    <w:rsid w:val="00A252C7"/>
    <w:rsid w:val="00A34127"/>
    <w:rsid w:val="00A72F5B"/>
    <w:rsid w:val="00A933ED"/>
    <w:rsid w:val="00AA126C"/>
    <w:rsid w:val="00AA36AA"/>
    <w:rsid w:val="00AB3EB4"/>
    <w:rsid w:val="00AE0BFF"/>
    <w:rsid w:val="00B143AC"/>
    <w:rsid w:val="00B17D42"/>
    <w:rsid w:val="00C0036A"/>
    <w:rsid w:val="00C02ACB"/>
    <w:rsid w:val="00C76751"/>
    <w:rsid w:val="00CC333F"/>
    <w:rsid w:val="00D432A7"/>
    <w:rsid w:val="00D91DF8"/>
    <w:rsid w:val="00E1329A"/>
    <w:rsid w:val="00E608F6"/>
    <w:rsid w:val="00E745A0"/>
    <w:rsid w:val="00EF724E"/>
    <w:rsid w:val="00EF7332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BD53"/>
  <w15:chartTrackingRefBased/>
  <w15:docId w15:val="{1343A3BA-7A05-4565-9BC4-3D2AD1E3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6B1BAE"/>
    <w:pPr>
      <w:widowControl w:val="0"/>
      <w:spacing w:line="480" w:lineRule="atLeast"/>
      <w:ind w:left="797" w:right="853"/>
      <w:jc w:val="both"/>
    </w:pPr>
    <w:rPr>
      <w:rFonts w:ascii="Tahoma" w:hAnsi="Tahoma"/>
      <w:b/>
      <w:i/>
    </w:rPr>
  </w:style>
  <w:style w:type="paragraph" w:styleId="Textoindependiente">
    <w:name w:val="Body Text"/>
    <w:basedOn w:val="Normal"/>
    <w:link w:val="TextoindependienteCar"/>
    <w:rsid w:val="002C0F90"/>
    <w:pPr>
      <w:jc w:val="both"/>
    </w:pPr>
    <w:rPr>
      <w:rFonts w:ascii="Tahoma" w:hAnsi="Tahoma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C0F90"/>
    <w:rPr>
      <w:rFonts w:ascii="Tahoma" w:eastAsia="Times New Roman" w:hAnsi="Tahoma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Jennifer D´ Ascoli Briceño</dc:creator>
  <cp:keywords/>
  <dc:description/>
  <cp:lastModifiedBy>Flavia Jennifer D´ Ascoli Briceño</cp:lastModifiedBy>
  <cp:revision>11</cp:revision>
  <cp:lastPrinted>2025-10-08T20:27:00Z</cp:lastPrinted>
  <dcterms:created xsi:type="dcterms:W3CDTF">2025-10-08T20:27:00Z</dcterms:created>
  <dcterms:modified xsi:type="dcterms:W3CDTF">2025-11-10T16:20:00Z</dcterms:modified>
</cp:coreProperties>
</file>